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48" w:rsidRPr="00492A82" w:rsidRDefault="00771348" w:rsidP="00771348">
      <w:pPr>
        <w:spacing w:after="0" w:line="240" w:lineRule="auto"/>
        <w:jc w:val="center"/>
        <w:rPr>
          <w:b/>
          <w:bCs/>
          <w:sz w:val="40"/>
          <w:szCs w:val="48"/>
        </w:rPr>
      </w:pPr>
      <w:r w:rsidRPr="00492A82">
        <w:rPr>
          <w:b/>
          <w:bCs/>
          <w:sz w:val="40"/>
          <w:szCs w:val="48"/>
        </w:rPr>
        <w:t>S. K. SOMAIYA COLLEGE OF ARTS, SCIENCE &amp; COMMERCE</w:t>
      </w:r>
    </w:p>
    <w:p w:rsidR="00771348" w:rsidRDefault="00771348" w:rsidP="00771348">
      <w:pPr>
        <w:spacing w:after="0" w:line="24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“AUROBINDO”</w:t>
      </w:r>
    </w:p>
    <w:p w:rsidR="00AA5B8F" w:rsidRDefault="00771348" w:rsidP="00771348">
      <w:pPr>
        <w:jc w:val="center"/>
        <w:rPr>
          <w:b/>
          <w:bCs/>
          <w:sz w:val="46"/>
          <w:szCs w:val="46"/>
          <w:u w:val="single"/>
        </w:rPr>
      </w:pPr>
      <w:r w:rsidRPr="003A52A6">
        <w:rPr>
          <w:b/>
          <w:bCs/>
          <w:sz w:val="46"/>
          <w:szCs w:val="46"/>
          <w:u w:val="single"/>
        </w:rPr>
        <w:t>2</w:t>
      </w:r>
      <w:r w:rsidRPr="003A52A6">
        <w:rPr>
          <w:b/>
          <w:bCs/>
          <w:sz w:val="46"/>
          <w:szCs w:val="46"/>
          <w:u w:val="single"/>
          <w:vertAlign w:val="superscript"/>
        </w:rPr>
        <w:t>nd</w:t>
      </w:r>
      <w:r w:rsidRPr="003A52A6">
        <w:rPr>
          <w:b/>
          <w:bCs/>
          <w:sz w:val="46"/>
          <w:szCs w:val="46"/>
          <w:u w:val="single"/>
        </w:rPr>
        <w:t xml:space="preserve"> Phase – </w:t>
      </w:r>
      <w:r w:rsidR="00274E00">
        <w:rPr>
          <w:b/>
          <w:bCs/>
          <w:sz w:val="46"/>
          <w:szCs w:val="46"/>
          <w:u w:val="single"/>
        </w:rPr>
        <w:t>2</w:t>
      </w:r>
      <w:r w:rsidR="00274E00" w:rsidRPr="00274E00">
        <w:rPr>
          <w:b/>
          <w:bCs/>
          <w:sz w:val="46"/>
          <w:szCs w:val="46"/>
          <w:u w:val="single"/>
          <w:vertAlign w:val="superscript"/>
        </w:rPr>
        <w:t>nd</w:t>
      </w:r>
      <w:r w:rsidR="00274E00">
        <w:rPr>
          <w:b/>
          <w:bCs/>
          <w:sz w:val="46"/>
          <w:szCs w:val="46"/>
          <w:u w:val="single"/>
        </w:rPr>
        <w:t xml:space="preserve"> </w:t>
      </w:r>
      <w:r w:rsidRPr="003A52A6">
        <w:rPr>
          <w:b/>
          <w:bCs/>
          <w:sz w:val="46"/>
          <w:szCs w:val="46"/>
          <w:u w:val="single"/>
        </w:rPr>
        <w:t>MERIT LIST</w:t>
      </w:r>
      <w:r>
        <w:rPr>
          <w:b/>
          <w:bCs/>
          <w:sz w:val="46"/>
          <w:szCs w:val="46"/>
          <w:u w:val="single"/>
        </w:rPr>
        <w:t xml:space="preserve"> – 2</w:t>
      </w:r>
      <w:r w:rsidR="00274E00">
        <w:rPr>
          <w:b/>
          <w:bCs/>
          <w:sz w:val="46"/>
          <w:szCs w:val="46"/>
          <w:u w:val="single"/>
        </w:rPr>
        <w:t>3</w:t>
      </w:r>
      <w:r>
        <w:rPr>
          <w:b/>
          <w:bCs/>
          <w:sz w:val="46"/>
          <w:szCs w:val="46"/>
          <w:u w:val="single"/>
        </w:rPr>
        <w:t>.07.2016</w:t>
      </w:r>
    </w:p>
    <w:p w:rsidR="00771348" w:rsidRPr="00492A82" w:rsidRDefault="00771348" w:rsidP="00771348">
      <w:pPr>
        <w:spacing w:line="240" w:lineRule="auto"/>
        <w:jc w:val="both"/>
        <w:rPr>
          <w:sz w:val="28"/>
          <w:szCs w:val="28"/>
        </w:rPr>
      </w:pPr>
      <w:r w:rsidRPr="00492A82">
        <w:rPr>
          <w:sz w:val="28"/>
          <w:szCs w:val="28"/>
        </w:rPr>
        <w:t xml:space="preserve">The students belonging to different categories and fulfilling the marks requirement as below can take admission on </w:t>
      </w:r>
      <w:r>
        <w:rPr>
          <w:b/>
          <w:noProof/>
          <w:sz w:val="26"/>
          <w:szCs w:val="26"/>
        </w:rPr>
        <w:t>2</w:t>
      </w:r>
      <w:r w:rsidR="00274E00">
        <w:rPr>
          <w:b/>
          <w:noProof/>
          <w:sz w:val="26"/>
          <w:szCs w:val="26"/>
        </w:rPr>
        <w:t>5</w:t>
      </w:r>
      <w:r w:rsidR="00274E00" w:rsidRPr="00274E00">
        <w:rPr>
          <w:b/>
          <w:noProof/>
          <w:sz w:val="26"/>
          <w:szCs w:val="26"/>
          <w:vertAlign w:val="superscript"/>
        </w:rPr>
        <w:t>th</w:t>
      </w:r>
      <w:r w:rsidR="00274E00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– 2</w:t>
      </w:r>
      <w:r w:rsidR="00274E00">
        <w:rPr>
          <w:b/>
          <w:noProof/>
          <w:sz w:val="26"/>
          <w:szCs w:val="26"/>
        </w:rPr>
        <w:t>6</w:t>
      </w:r>
      <w:r w:rsidR="00274E00" w:rsidRPr="00274E00">
        <w:rPr>
          <w:b/>
          <w:noProof/>
          <w:sz w:val="26"/>
          <w:szCs w:val="26"/>
          <w:vertAlign w:val="superscript"/>
        </w:rPr>
        <w:t>th</w:t>
      </w:r>
      <w:r w:rsidR="00274E00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 xml:space="preserve">July, 2016 </w:t>
      </w:r>
      <w:r w:rsidRPr="00492A82">
        <w:rPr>
          <w:sz w:val="28"/>
          <w:szCs w:val="28"/>
        </w:rPr>
        <w:t xml:space="preserve">between </w:t>
      </w:r>
      <w:r w:rsidRPr="00492A82">
        <w:rPr>
          <w:b/>
          <w:sz w:val="28"/>
          <w:szCs w:val="28"/>
        </w:rPr>
        <w:t xml:space="preserve">9.00 a.m. to </w:t>
      </w:r>
      <w:r w:rsidR="00B3028A">
        <w:rPr>
          <w:b/>
          <w:sz w:val="28"/>
          <w:szCs w:val="28"/>
        </w:rPr>
        <w:t>12</w:t>
      </w:r>
      <w:r w:rsidRPr="00492A82">
        <w:rPr>
          <w:b/>
          <w:sz w:val="28"/>
          <w:szCs w:val="28"/>
        </w:rPr>
        <w:t>.</w:t>
      </w:r>
      <w:r w:rsidR="00B3028A">
        <w:rPr>
          <w:b/>
          <w:sz w:val="28"/>
          <w:szCs w:val="28"/>
        </w:rPr>
        <w:t>0</w:t>
      </w:r>
      <w:r w:rsidRPr="00492A82">
        <w:rPr>
          <w:b/>
          <w:sz w:val="28"/>
          <w:szCs w:val="28"/>
        </w:rPr>
        <w:t xml:space="preserve">0 </w:t>
      </w:r>
      <w:r w:rsidR="00B3028A">
        <w:rPr>
          <w:b/>
          <w:sz w:val="28"/>
          <w:szCs w:val="28"/>
        </w:rPr>
        <w:t>Noon.</w:t>
      </w:r>
    </w:p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277"/>
        <w:gridCol w:w="1890"/>
        <w:gridCol w:w="1710"/>
        <w:gridCol w:w="1890"/>
        <w:gridCol w:w="1620"/>
        <w:gridCol w:w="2070"/>
        <w:gridCol w:w="1840"/>
        <w:gridCol w:w="1620"/>
      </w:tblGrid>
      <w:tr w:rsidR="00B1604E" w:rsidRPr="00E96F18" w:rsidTr="00945889">
        <w:tc>
          <w:tcPr>
            <w:tcW w:w="981" w:type="dxa"/>
            <w:vAlign w:val="center"/>
          </w:tcPr>
          <w:p w:rsidR="002E3248" w:rsidRPr="00E96F18" w:rsidRDefault="002E3248" w:rsidP="00B27406">
            <w:pPr>
              <w:pStyle w:val="NoSpacing"/>
              <w:jc w:val="center"/>
              <w:rPr>
                <w:sz w:val="26"/>
              </w:rPr>
            </w:pPr>
            <w:r w:rsidRPr="00E96F18">
              <w:rPr>
                <w:sz w:val="26"/>
              </w:rPr>
              <w:t>Sr. No.</w:t>
            </w:r>
          </w:p>
        </w:tc>
        <w:tc>
          <w:tcPr>
            <w:tcW w:w="2277" w:type="dxa"/>
            <w:vAlign w:val="center"/>
          </w:tcPr>
          <w:p w:rsidR="002E3248" w:rsidRPr="00E96F18" w:rsidRDefault="002E3248" w:rsidP="00B27406">
            <w:pPr>
              <w:pStyle w:val="NoSpacing"/>
              <w:rPr>
                <w:sz w:val="26"/>
              </w:rPr>
            </w:pPr>
            <w:r w:rsidRPr="00E96F18">
              <w:rPr>
                <w:sz w:val="26"/>
              </w:rPr>
              <w:t>Category</w:t>
            </w:r>
          </w:p>
        </w:tc>
        <w:tc>
          <w:tcPr>
            <w:tcW w:w="1890" w:type="dxa"/>
            <w:vAlign w:val="center"/>
          </w:tcPr>
          <w:p w:rsidR="002E3248" w:rsidRPr="00E96F18" w:rsidRDefault="002E3248" w:rsidP="00B27406">
            <w:pPr>
              <w:pStyle w:val="NoSpacing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t>FYBA</w:t>
            </w:r>
          </w:p>
        </w:tc>
        <w:tc>
          <w:tcPr>
            <w:tcW w:w="1710" w:type="dxa"/>
          </w:tcPr>
          <w:p w:rsidR="002E3248" w:rsidRDefault="002E3248" w:rsidP="00B27406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FYBCOM</w:t>
            </w:r>
          </w:p>
        </w:tc>
        <w:tc>
          <w:tcPr>
            <w:tcW w:w="1890" w:type="dxa"/>
          </w:tcPr>
          <w:p w:rsidR="002E3248" w:rsidRDefault="002E3248" w:rsidP="00B27406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FY-A&amp;F</w:t>
            </w:r>
          </w:p>
        </w:tc>
        <w:tc>
          <w:tcPr>
            <w:tcW w:w="1620" w:type="dxa"/>
          </w:tcPr>
          <w:p w:rsidR="002E3248" w:rsidRDefault="002E3248" w:rsidP="00B27406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 – B&amp;I</w:t>
            </w:r>
          </w:p>
        </w:tc>
        <w:tc>
          <w:tcPr>
            <w:tcW w:w="2070" w:type="dxa"/>
          </w:tcPr>
          <w:p w:rsidR="002E3248" w:rsidRDefault="002E3248" w:rsidP="00B27406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 - FM</w:t>
            </w:r>
          </w:p>
        </w:tc>
        <w:tc>
          <w:tcPr>
            <w:tcW w:w="1840" w:type="dxa"/>
          </w:tcPr>
          <w:p w:rsidR="002E3248" w:rsidRDefault="002E3248" w:rsidP="00B27406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 – CS</w:t>
            </w:r>
          </w:p>
        </w:tc>
        <w:tc>
          <w:tcPr>
            <w:tcW w:w="1620" w:type="dxa"/>
          </w:tcPr>
          <w:p w:rsidR="00C512CF" w:rsidRDefault="002E3248" w:rsidP="00C512CF">
            <w:pPr>
              <w:pStyle w:val="NoSpacing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FY </w:t>
            </w:r>
            <w:r w:rsidR="00C512CF">
              <w:rPr>
                <w:noProof/>
                <w:sz w:val="26"/>
              </w:rPr>
              <w:t>–</w:t>
            </w:r>
            <w:r>
              <w:rPr>
                <w:noProof/>
                <w:sz w:val="26"/>
              </w:rPr>
              <w:t xml:space="preserve"> IT</w:t>
            </w:r>
            <w:r w:rsidR="00A051A4">
              <w:rPr>
                <w:noProof/>
                <w:sz w:val="26"/>
              </w:rPr>
              <w:t xml:space="preserve"> </w:t>
            </w:r>
          </w:p>
        </w:tc>
      </w:tr>
      <w:tr w:rsidR="00B1604E" w:rsidRPr="00E96F18" w:rsidTr="00945889">
        <w:trPr>
          <w:cantSplit/>
        </w:trPr>
        <w:tc>
          <w:tcPr>
            <w:tcW w:w="981" w:type="dxa"/>
          </w:tcPr>
          <w:p w:rsidR="002E3248" w:rsidRPr="00E96F18" w:rsidRDefault="002E3248" w:rsidP="00B27406">
            <w:pPr>
              <w:pStyle w:val="NoSpacing"/>
              <w:jc w:val="center"/>
              <w:rPr>
                <w:sz w:val="26"/>
              </w:rPr>
            </w:pPr>
            <w:r w:rsidRPr="00E96F18">
              <w:rPr>
                <w:sz w:val="26"/>
              </w:rPr>
              <w:t>1</w:t>
            </w:r>
          </w:p>
        </w:tc>
        <w:tc>
          <w:tcPr>
            <w:tcW w:w="2277" w:type="dxa"/>
          </w:tcPr>
          <w:p w:rsidR="002E3248" w:rsidRPr="00E96F18" w:rsidRDefault="002E3248" w:rsidP="00B27406">
            <w:pPr>
              <w:spacing w:after="0" w:line="240" w:lineRule="auto"/>
              <w:rPr>
                <w:sz w:val="28"/>
                <w:szCs w:val="32"/>
              </w:rPr>
            </w:pPr>
            <w:r w:rsidRPr="00E96F18">
              <w:rPr>
                <w:sz w:val="28"/>
                <w:szCs w:val="32"/>
              </w:rPr>
              <w:t>Gujarati Linguistic Minority</w:t>
            </w:r>
          </w:p>
        </w:tc>
        <w:tc>
          <w:tcPr>
            <w:tcW w:w="1890" w:type="dxa"/>
            <w:shd w:val="clear" w:color="auto" w:fill="auto"/>
          </w:tcPr>
          <w:p w:rsidR="002E3248" w:rsidRPr="00B26FF2" w:rsidRDefault="000233C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710" w:type="dxa"/>
          </w:tcPr>
          <w:p w:rsidR="002E3248" w:rsidRPr="00B26FF2" w:rsidRDefault="000233C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68% and above, but below </w:t>
            </w:r>
            <w:r w:rsidR="00A03C1C">
              <w:rPr>
                <w:sz w:val="24"/>
                <w:szCs w:val="24"/>
              </w:rPr>
              <w:t xml:space="preserve">73.08% </w:t>
            </w:r>
          </w:p>
        </w:tc>
        <w:tc>
          <w:tcPr>
            <w:tcW w:w="1890" w:type="dxa"/>
          </w:tcPr>
          <w:p w:rsidR="002E3248" w:rsidRPr="00B26FF2" w:rsidRDefault="009B70EE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620" w:type="dxa"/>
          </w:tcPr>
          <w:p w:rsidR="002E3248" w:rsidRPr="00B26FF2" w:rsidRDefault="007C0537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2070" w:type="dxa"/>
          </w:tcPr>
          <w:p w:rsidR="002E3248" w:rsidRPr="00B26FF2" w:rsidRDefault="000233C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74.31% ande above, but below </w:t>
            </w:r>
            <w:r w:rsidR="00D41F2B" w:rsidRPr="00B26FF2">
              <w:rPr>
                <w:sz w:val="24"/>
                <w:szCs w:val="24"/>
              </w:rPr>
              <w:t>79.</w:t>
            </w:r>
            <w:r w:rsidR="0018624D" w:rsidRPr="00B26FF2">
              <w:rPr>
                <w:sz w:val="24"/>
                <w:szCs w:val="24"/>
              </w:rPr>
              <w:t xml:space="preserve">08 % </w:t>
            </w:r>
          </w:p>
        </w:tc>
        <w:tc>
          <w:tcPr>
            <w:tcW w:w="1840" w:type="dxa"/>
          </w:tcPr>
          <w:p w:rsidR="002E3248" w:rsidRPr="00B26FF2" w:rsidRDefault="000233C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620" w:type="dxa"/>
          </w:tcPr>
          <w:p w:rsidR="002E3248" w:rsidRPr="00B26FF2" w:rsidRDefault="00D41F2B" w:rsidP="00C17549">
            <w:pPr>
              <w:pStyle w:val="NoSpacing"/>
              <w:jc w:val="right"/>
              <w:rPr>
                <w:sz w:val="24"/>
                <w:szCs w:val="24"/>
              </w:rPr>
            </w:pPr>
            <w:r w:rsidRPr="00B26FF2">
              <w:rPr>
                <w:sz w:val="24"/>
                <w:szCs w:val="24"/>
              </w:rPr>
              <w:t>-----</w:t>
            </w:r>
          </w:p>
        </w:tc>
      </w:tr>
      <w:tr w:rsidR="00B1604E" w:rsidRPr="00E96F18" w:rsidTr="00945889">
        <w:trPr>
          <w:cantSplit/>
        </w:trPr>
        <w:tc>
          <w:tcPr>
            <w:tcW w:w="981" w:type="dxa"/>
          </w:tcPr>
          <w:p w:rsidR="002E3248" w:rsidRPr="00E96F18" w:rsidRDefault="002E3248" w:rsidP="00B27406">
            <w:pPr>
              <w:pStyle w:val="NoSpacing"/>
              <w:jc w:val="center"/>
              <w:rPr>
                <w:sz w:val="26"/>
              </w:rPr>
            </w:pPr>
            <w:r w:rsidRPr="00E96F18">
              <w:rPr>
                <w:sz w:val="26"/>
              </w:rPr>
              <w:t>2</w:t>
            </w:r>
          </w:p>
        </w:tc>
        <w:tc>
          <w:tcPr>
            <w:tcW w:w="2277" w:type="dxa"/>
          </w:tcPr>
          <w:p w:rsidR="002E3248" w:rsidRPr="00E96F18" w:rsidRDefault="002E3248" w:rsidP="00B27406">
            <w:pPr>
              <w:spacing w:after="0" w:line="240" w:lineRule="auto"/>
              <w:rPr>
                <w:sz w:val="28"/>
                <w:szCs w:val="32"/>
              </w:rPr>
            </w:pPr>
            <w:r w:rsidRPr="00E96F18">
              <w:rPr>
                <w:sz w:val="28"/>
                <w:szCs w:val="32"/>
              </w:rPr>
              <w:t>Open</w:t>
            </w:r>
          </w:p>
        </w:tc>
        <w:tc>
          <w:tcPr>
            <w:tcW w:w="1890" w:type="dxa"/>
            <w:shd w:val="clear" w:color="auto" w:fill="auto"/>
          </w:tcPr>
          <w:p w:rsidR="002E3248" w:rsidRPr="00B26FF2" w:rsidRDefault="00ED22D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47.08% and above, but below </w:t>
            </w:r>
            <w:r w:rsidR="0040740A" w:rsidRPr="00B26FF2">
              <w:rPr>
                <w:sz w:val="24"/>
                <w:szCs w:val="24"/>
              </w:rPr>
              <w:t>50.92%</w:t>
            </w:r>
          </w:p>
        </w:tc>
        <w:tc>
          <w:tcPr>
            <w:tcW w:w="1710" w:type="dxa"/>
          </w:tcPr>
          <w:p w:rsidR="002E3248" w:rsidRPr="00B26FF2" w:rsidRDefault="00C540D6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72.62% and above, but below </w:t>
            </w:r>
            <w:r w:rsidR="00DA4FB4">
              <w:rPr>
                <w:sz w:val="24"/>
                <w:szCs w:val="24"/>
              </w:rPr>
              <w:t xml:space="preserve">74% </w:t>
            </w:r>
          </w:p>
        </w:tc>
        <w:tc>
          <w:tcPr>
            <w:tcW w:w="1890" w:type="dxa"/>
          </w:tcPr>
          <w:p w:rsidR="002E3248" w:rsidRPr="00B26FF2" w:rsidRDefault="00C540D6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80.62% and above, but below </w:t>
            </w:r>
            <w:r w:rsidR="00424A7C">
              <w:rPr>
                <w:sz w:val="24"/>
                <w:szCs w:val="24"/>
              </w:rPr>
              <w:t xml:space="preserve">82.15% </w:t>
            </w:r>
          </w:p>
        </w:tc>
        <w:tc>
          <w:tcPr>
            <w:tcW w:w="1620" w:type="dxa"/>
          </w:tcPr>
          <w:p w:rsidR="002E3248" w:rsidRPr="00B26FF2" w:rsidRDefault="00C540D6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72.31% and above, but below </w:t>
            </w:r>
            <w:r w:rsidR="007C0537">
              <w:rPr>
                <w:sz w:val="24"/>
                <w:szCs w:val="24"/>
              </w:rPr>
              <w:t xml:space="preserve">74% </w:t>
            </w:r>
          </w:p>
        </w:tc>
        <w:tc>
          <w:tcPr>
            <w:tcW w:w="2070" w:type="dxa"/>
          </w:tcPr>
          <w:p w:rsidR="002E3248" w:rsidRPr="00B26FF2" w:rsidRDefault="00C540D6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74.31% and above, but below </w:t>
            </w:r>
            <w:r w:rsidR="00116D2D">
              <w:rPr>
                <w:sz w:val="24"/>
                <w:szCs w:val="24"/>
              </w:rPr>
              <w:t xml:space="preserve">77.67% </w:t>
            </w:r>
          </w:p>
        </w:tc>
        <w:tc>
          <w:tcPr>
            <w:tcW w:w="1840" w:type="dxa"/>
          </w:tcPr>
          <w:p w:rsidR="002E3248" w:rsidRPr="00B26FF2" w:rsidRDefault="00C540D6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60% and above, but below </w:t>
            </w:r>
            <w:r w:rsidR="009773E4">
              <w:rPr>
                <w:sz w:val="24"/>
                <w:szCs w:val="24"/>
              </w:rPr>
              <w:t xml:space="preserve">62% </w:t>
            </w:r>
          </w:p>
        </w:tc>
        <w:tc>
          <w:tcPr>
            <w:tcW w:w="1620" w:type="dxa"/>
          </w:tcPr>
          <w:p w:rsidR="002E3248" w:rsidRPr="00B26FF2" w:rsidRDefault="00C540D6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and above, but below </w:t>
            </w:r>
            <w:r w:rsidR="009447C8" w:rsidRPr="00B26FF2">
              <w:rPr>
                <w:sz w:val="24"/>
                <w:szCs w:val="24"/>
              </w:rPr>
              <w:t xml:space="preserve">97 </w:t>
            </w:r>
          </w:p>
        </w:tc>
      </w:tr>
      <w:tr w:rsidR="00B1604E" w:rsidRPr="00E96F18" w:rsidTr="00945889">
        <w:trPr>
          <w:cantSplit/>
        </w:trPr>
        <w:tc>
          <w:tcPr>
            <w:tcW w:w="981" w:type="dxa"/>
          </w:tcPr>
          <w:p w:rsidR="002E3248" w:rsidRPr="00E96F18" w:rsidRDefault="00945889" w:rsidP="00B27406">
            <w:pPr>
              <w:pStyle w:val="NoSpacing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7" w:type="dxa"/>
          </w:tcPr>
          <w:p w:rsidR="002E3248" w:rsidRPr="00E96F18" w:rsidRDefault="002E3248" w:rsidP="00B27406">
            <w:pPr>
              <w:spacing w:after="0" w:line="240" w:lineRule="auto"/>
              <w:rPr>
                <w:sz w:val="28"/>
                <w:szCs w:val="32"/>
              </w:rPr>
            </w:pPr>
            <w:r w:rsidRPr="00E96F18">
              <w:rPr>
                <w:sz w:val="28"/>
                <w:szCs w:val="32"/>
              </w:rPr>
              <w:t>OBC</w:t>
            </w:r>
          </w:p>
        </w:tc>
        <w:tc>
          <w:tcPr>
            <w:tcW w:w="1890" w:type="dxa"/>
            <w:shd w:val="clear" w:color="auto" w:fill="auto"/>
          </w:tcPr>
          <w:p w:rsidR="002E3248" w:rsidRPr="00B26FF2" w:rsidRDefault="0094588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710" w:type="dxa"/>
          </w:tcPr>
          <w:p w:rsidR="002E3248" w:rsidRPr="00B26FF2" w:rsidRDefault="009017A3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68.31% and above, but below </w:t>
            </w:r>
            <w:r w:rsidR="00715C39">
              <w:rPr>
                <w:sz w:val="24"/>
                <w:szCs w:val="24"/>
              </w:rPr>
              <w:t xml:space="preserve">70.31% </w:t>
            </w:r>
          </w:p>
        </w:tc>
        <w:tc>
          <w:tcPr>
            <w:tcW w:w="1890" w:type="dxa"/>
          </w:tcPr>
          <w:p w:rsidR="002E3248" w:rsidRPr="00B26FF2" w:rsidRDefault="0094588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620" w:type="dxa"/>
          </w:tcPr>
          <w:p w:rsidR="002E3248" w:rsidRPr="00B26FF2" w:rsidRDefault="0094588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70" w:type="dxa"/>
          </w:tcPr>
          <w:p w:rsidR="002E3248" w:rsidRPr="00B26FF2" w:rsidRDefault="0094588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840" w:type="dxa"/>
          </w:tcPr>
          <w:p w:rsidR="002E3248" w:rsidRPr="00B26FF2" w:rsidRDefault="0094588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620" w:type="dxa"/>
          </w:tcPr>
          <w:p w:rsidR="002E3248" w:rsidRPr="00B26FF2" w:rsidRDefault="00945889" w:rsidP="00C1754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6F47" w:rsidRDefault="00336F47" w:rsidP="001D78FC">
      <w:pPr>
        <w:pStyle w:val="NoSpacing"/>
        <w:jc w:val="both"/>
        <w:rPr>
          <w:sz w:val="2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800"/>
        <w:gridCol w:w="1620"/>
        <w:gridCol w:w="1890"/>
        <w:gridCol w:w="1620"/>
        <w:gridCol w:w="1766"/>
        <w:gridCol w:w="2380"/>
        <w:gridCol w:w="1434"/>
      </w:tblGrid>
      <w:tr w:rsidR="008C530E" w:rsidRPr="007936C3" w:rsidTr="00945889">
        <w:trPr>
          <w:cantSplit/>
        </w:trPr>
        <w:tc>
          <w:tcPr>
            <w:tcW w:w="3438" w:type="dxa"/>
          </w:tcPr>
          <w:p w:rsidR="008C530E" w:rsidRPr="00647A96" w:rsidRDefault="008C530E" w:rsidP="00461EDF">
            <w:pPr>
              <w:spacing w:after="0" w:line="240" w:lineRule="auto"/>
              <w:jc w:val="right"/>
              <w:rPr>
                <w:b/>
                <w:sz w:val="26"/>
                <w:szCs w:val="32"/>
              </w:rPr>
            </w:pPr>
            <w:r>
              <w:rPr>
                <w:b/>
                <w:sz w:val="26"/>
                <w:szCs w:val="32"/>
              </w:rPr>
              <w:t>FEES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C530E" w:rsidRPr="00E96F18" w:rsidRDefault="008C530E" w:rsidP="00461EDF">
            <w:pPr>
              <w:pStyle w:val="NoSpacing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t>FYBA</w:t>
            </w:r>
          </w:p>
        </w:tc>
        <w:tc>
          <w:tcPr>
            <w:tcW w:w="1620" w:type="dxa"/>
          </w:tcPr>
          <w:p w:rsidR="008C530E" w:rsidRDefault="008C530E" w:rsidP="00461EDF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FYBCOM</w:t>
            </w:r>
          </w:p>
        </w:tc>
        <w:tc>
          <w:tcPr>
            <w:tcW w:w="1890" w:type="dxa"/>
          </w:tcPr>
          <w:p w:rsidR="008C530E" w:rsidRDefault="008C530E" w:rsidP="00461EDF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</w:t>
            </w:r>
            <w:r w:rsidR="003E1004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-</w:t>
            </w:r>
            <w:r w:rsidR="003E1004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A&amp;F</w:t>
            </w:r>
          </w:p>
        </w:tc>
        <w:tc>
          <w:tcPr>
            <w:tcW w:w="1620" w:type="dxa"/>
          </w:tcPr>
          <w:p w:rsidR="008C530E" w:rsidRDefault="008C530E" w:rsidP="00461EDF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 – B&amp;I</w:t>
            </w:r>
          </w:p>
        </w:tc>
        <w:tc>
          <w:tcPr>
            <w:tcW w:w="1766" w:type="dxa"/>
          </w:tcPr>
          <w:p w:rsidR="008C530E" w:rsidRDefault="008C530E" w:rsidP="00461EDF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 - FM</w:t>
            </w:r>
          </w:p>
        </w:tc>
        <w:tc>
          <w:tcPr>
            <w:tcW w:w="2380" w:type="dxa"/>
          </w:tcPr>
          <w:p w:rsidR="008C530E" w:rsidRDefault="008C530E" w:rsidP="00461EDF">
            <w:pPr>
              <w:pStyle w:val="NoSpacing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FY – CS</w:t>
            </w:r>
          </w:p>
        </w:tc>
        <w:tc>
          <w:tcPr>
            <w:tcW w:w="1434" w:type="dxa"/>
          </w:tcPr>
          <w:p w:rsidR="008C530E" w:rsidRDefault="008C530E" w:rsidP="00461EDF">
            <w:pPr>
              <w:pStyle w:val="NoSpacing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FY – IT </w:t>
            </w:r>
          </w:p>
        </w:tc>
      </w:tr>
      <w:tr w:rsidR="008C530E" w:rsidRPr="007936C3" w:rsidTr="00945889">
        <w:trPr>
          <w:cantSplit/>
        </w:trPr>
        <w:tc>
          <w:tcPr>
            <w:tcW w:w="3438" w:type="dxa"/>
          </w:tcPr>
          <w:p w:rsidR="008C530E" w:rsidRPr="00647A96" w:rsidRDefault="008C530E" w:rsidP="00461EDF">
            <w:pPr>
              <w:spacing w:after="0" w:line="240" w:lineRule="auto"/>
              <w:jc w:val="right"/>
              <w:rPr>
                <w:b/>
                <w:sz w:val="26"/>
                <w:szCs w:val="32"/>
              </w:rPr>
            </w:pPr>
            <w:r w:rsidRPr="00647A96">
              <w:rPr>
                <w:b/>
                <w:sz w:val="26"/>
                <w:szCs w:val="32"/>
              </w:rPr>
              <w:t>Fees : Open</w:t>
            </w:r>
          </w:p>
        </w:tc>
        <w:tc>
          <w:tcPr>
            <w:tcW w:w="1800" w:type="dxa"/>
            <w:shd w:val="clear" w:color="auto" w:fill="auto"/>
          </w:tcPr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5531+ 1650*</w:t>
            </w:r>
          </w:p>
        </w:tc>
        <w:tc>
          <w:tcPr>
            <w:tcW w:w="1620" w:type="dxa"/>
          </w:tcPr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6331+ 1650*</w:t>
            </w:r>
          </w:p>
        </w:tc>
        <w:tc>
          <w:tcPr>
            <w:tcW w:w="1890" w:type="dxa"/>
          </w:tcPr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 w:rsidRPr="007936C3">
              <w:rPr>
                <w:sz w:val="26"/>
              </w:rPr>
              <w:t>18951 +</w:t>
            </w:r>
            <w:r>
              <w:rPr>
                <w:sz w:val="26"/>
              </w:rPr>
              <w:t xml:space="preserve"> </w:t>
            </w:r>
            <w:r w:rsidRPr="007936C3">
              <w:rPr>
                <w:sz w:val="26"/>
              </w:rPr>
              <w:t>2750*</w:t>
            </w:r>
          </w:p>
        </w:tc>
        <w:tc>
          <w:tcPr>
            <w:tcW w:w="1620" w:type="dxa"/>
          </w:tcPr>
          <w:p w:rsidR="008C530E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19751+</w:t>
            </w:r>
          </w:p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2750*</w:t>
            </w:r>
          </w:p>
        </w:tc>
        <w:tc>
          <w:tcPr>
            <w:tcW w:w="1766" w:type="dxa"/>
          </w:tcPr>
          <w:p w:rsidR="008C530E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18751+</w:t>
            </w:r>
          </w:p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2750*</w:t>
            </w:r>
          </w:p>
        </w:tc>
        <w:tc>
          <w:tcPr>
            <w:tcW w:w="2380" w:type="dxa"/>
          </w:tcPr>
          <w:p w:rsidR="008C530E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16201+</w:t>
            </w:r>
          </w:p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2750*</w:t>
            </w:r>
          </w:p>
        </w:tc>
        <w:tc>
          <w:tcPr>
            <w:tcW w:w="1434" w:type="dxa"/>
          </w:tcPr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23651 + 2750*</w:t>
            </w:r>
          </w:p>
        </w:tc>
      </w:tr>
      <w:tr w:rsidR="008C530E" w:rsidRPr="007936C3" w:rsidTr="00945889">
        <w:trPr>
          <w:cantSplit/>
        </w:trPr>
        <w:tc>
          <w:tcPr>
            <w:tcW w:w="3438" w:type="dxa"/>
          </w:tcPr>
          <w:p w:rsidR="008C530E" w:rsidRPr="00647A96" w:rsidRDefault="008C530E" w:rsidP="00461EDF">
            <w:pPr>
              <w:spacing w:after="0" w:line="240" w:lineRule="auto"/>
              <w:jc w:val="right"/>
              <w:rPr>
                <w:b/>
                <w:sz w:val="26"/>
                <w:szCs w:val="32"/>
              </w:rPr>
            </w:pPr>
            <w:r w:rsidRPr="00647A96">
              <w:rPr>
                <w:b/>
                <w:sz w:val="26"/>
                <w:szCs w:val="32"/>
              </w:rPr>
              <w:t>Fees  :  Res.Category</w:t>
            </w:r>
          </w:p>
        </w:tc>
        <w:tc>
          <w:tcPr>
            <w:tcW w:w="1800" w:type="dxa"/>
            <w:shd w:val="clear" w:color="auto" w:fill="auto"/>
          </w:tcPr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1055+ 1650*</w:t>
            </w:r>
          </w:p>
        </w:tc>
        <w:tc>
          <w:tcPr>
            <w:tcW w:w="1620" w:type="dxa"/>
          </w:tcPr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1855+ 1650*</w:t>
            </w:r>
          </w:p>
        </w:tc>
        <w:tc>
          <w:tcPr>
            <w:tcW w:w="1890" w:type="dxa"/>
          </w:tcPr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 w:rsidRPr="007936C3">
              <w:rPr>
                <w:sz w:val="26"/>
              </w:rPr>
              <w:t>1855</w:t>
            </w:r>
            <w:r>
              <w:rPr>
                <w:sz w:val="26"/>
              </w:rPr>
              <w:t>(only for SC &amp; ST)</w:t>
            </w:r>
            <w:r w:rsidRPr="007936C3">
              <w:rPr>
                <w:sz w:val="26"/>
              </w:rPr>
              <w:t xml:space="preserve"> +2750* </w:t>
            </w:r>
          </w:p>
        </w:tc>
        <w:tc>
          <w:tcPr>
            <w:tcW w:w="1620" w:type="dxa"/>
          </w:tcPr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1655 (only for SC &amp; ST)+ 2750*</w:t>
            </w:r>
          </w:p>
        </w:tc>
        <w:tc>
          <w:tcPr>
            <w:tcW w:w="1766" w:type="dxa"/>
          </w:tcPr>
          <w:p w:rsidR="008C530E" w:rsidRDefault="00C526C0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1655(only for SC &amp; ST) </w:t>
            </w:r>
          </w:p>
          <w:p w:rsidR="008C530E" w:rsidRPr="007936C3" w:rsidRDefault="008C530E" w:rsidP="00461ED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2750*</w:t>
            </w:r>
          </w:p>
        </w:tc>
        <w:tc>
          <w:tcPr>
            <w:tcW w:w="2380" w:type="dxa"/>
          </w:tcPr>
          <w:p w:rsidR="008C530E" w:rsidRPr="007936C3" w:rsidRDefault="008C530E" w:rsidP="0000042D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1855 (only for SC &amp; ST)</w:t>
            </w:r>
            <w:r w:rsidR="0000042D">
              <w:rPr>
                <w:sz w:val="26"/>
              </w:rPr>
              <w:t xml:space="preserve"> </w:t>
            </w:r>
            <w:r>
              <w:rPr>
                <w:sz w:val="26"/>
              </w:rPr>
              <w:t>2750*</w:t>
            </w:r>
          </w:p>
        </w:tc>
        <w:tc>
          <w:tcPr>
            <w:tcW w:w="1434" w:type="dxa"/>
          </w:tcPr>
          <w:p w:rsidR="008C530E" w:rsidRPr="000564F7" w:rsidRDefault="008C530E" w:rsidP="00461EDF">
            <w:pPr>
              <w:pStyle w:val="NoSpacing"/>
              <w:rPr>
                <w:color w:val="FFFFFF" w:themeColor="background1"/>
                <w:sz w:val="26"/>
              </w:rPr>
            </w:pPr>
            <w:r w:rsidRPr="000564F7">
              <w:rPr>
                <w:color w:val="FFFFFF" w:themeColor="background1"/>
                <w:sz w:val="26"/>
              </w:rPr>
              <w:t>1455 (Only for SC &amp; ST)</w:t>
            </w:r>
          </w:p>
        </w:tc>
      </w:tr>
    </w:tbl>
    <w:p w:rsidR="008C530E" w:rsidRDefault="008C530E" w:rsidP="008C530E">
      <w:pPr>
        <w:pStyle w:val="NoSpacing"/>
        <w:jc w:val="both"/>
        <w:rPr>
          <w:rFonts w:ascii="Times New Roman" w:hAnsi="Times New Roman" w:cs="Times New Roman"/>
          <w:b/>
          <w:i/>
          <w:sz w:val="30"/>
          <w:szCs w:val="28"/>
        </w:rPr>
      </w:pPr>
      <w:r w:rsidRPr="00D62A26">
        <w:rPr>
          <w:rFonts w:ascii="Times New Roman" w:hAnsi="Times New Roman" w:cs="Times New Roman"/>
          <w:b/>
          <w:i/>
          <w:sz w:val="36"/>
          <w:szCs w:val="28"/>
        </w:rPr>
        <w:t>*</w:t>
      </w:r>
      <w:r w:rsidRPr="007674D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8"/>
        </w:rPr>
        <w:t>Fees</w:t>
      </w:r>
      <w:r w:rsidRPr="001D78FC">
        <w:rPr>
          <w:rFonts w:ascii="Times New Roman" w:hAnsi="Times New Roman" w:cs="Times New Roman"/>
          <w:b/>
          <w:i/>
          <w:sz w:val="30"/>
          <w:szCs w:val="28"/>
        </w:rPr>
        <w:t xml:space="preserve"> towards Activity/Maintenance/Housekeeping/Security charges.</w:t>
      </w:r>
    </w:p>
    <w:p w:rsidR="008C530E" w:rsidRDefault="008C530E" w:rsidP="008C530E">
      <w:pPr>
        <w:pStyle w:val="NoSpacing"/>
        <w:jc w:val="both"/>
        <w:rPr>
          <w:rFonts w:ascii="Times New Roman" w:hAnsi="Times New Roman" w:cs="Times New Roman"/>
          <w:b/>
          <w:i/>
          <w:sz w:val="30"/>
          <w:szCs w:val="28"/>
          <w:u w:val="single"/>
        </w:rPr>
      </w:pPr>
      <w:r w:rsidRPr="00B2044C">
        <w:rPr>
          <w:rFonts w:ascii="Times New Roman" w:hAnsi="Times New Roman" w:cs="Times New Roman"/>
          <w:sz w:val="42"/>
        </w:rPr>
        <w:t xml:space="preserve"> </w:t>
      </w:r>
      <w:r w:rsidRPr="00B2044C">
        <w:rPr>
          <w:rFonts w:ascii="Times New Roman" w:hAnsi="Times New Roman" w:cs="Times New Roman"/>
          <w:b/>
          <w:i/>
          <w:sz w:val="30"/>
          <w:szCs w:val="28"/>
          <w:u w:val="single"/>
        </w:rPr>
        <w:t>Fees will be accepted ONLY in the form of D.D. in favour of S.K.Somaiya College of Arts, Science and Commerce, payable at Mumbai</w:t>
      </w:r>
    </w:p>
    <w:p w:rsidR="008C530E" w:rsidRDefault="008C530E" w:rsidP="008C530E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8"/>
          <w:u w:val="single"/>
        </w:rPr>
      </w:pPr>
    </w:p>
    <w:p w:rsidR="008C530E" w:rsidRDefault="008C530E" w:rsidP="008C530E">
      <w:pPr>
        <w:pStyle w:val="NoSpacing"/>
        <w:jc w:val="both"/>
        <w:rPr>
          <w:rFonts w:ascii="Times New Roman" w:hAnsi="Times New Roman" w:cs="Times New Roman"/>
          <w:b/>
          <w:i/>
          <w:sz w:val="3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28"/>
          <w:u w:val="single"/>
        </w:rPr>
        <w:t xml:space="preserve">For IT Course </w:t>
      </w:r>
    </w:p>
    <w:p w:rsidR="008C530E" w:rsidRPr="00643B72" w:rsidRDefault="008C530E" w:rsidP="008C530E">
      <w:pPr>
        <w:pStyle w:val="BodyTextIndent"/>
        <w:tabs>
          <w:tab w:val="left" w:pos="5760"/>
        </w:tabs>
        <w:ind w:right="0" w:firstLine="0"/>
        <w:rPr>
          <w:b/>
          <w:bCs/>
          <w:i/>
          <w:noProof/>
          <w:sz w:val="24"/>
          <w:szCs w:val="28"/>
        </w:rPr>
      </w:pPr>
      <w:r w:rsidRPr="00643B72">
        <w:rPr>
          <w:b/>
          <w:bCs/>
          <w:i/>
          <w:noProof/>
          <w:sz w:val="24"/>
          <w:szCs w:val="28"/>
        </w:rPr>
        <w:t>As per University norms candidates seeking admission should have scored aggregate 45% (Open Category) and 40% (reserve category) at HSC examination.</w:t>
      </w:r>
    </w:p>
    <w:p w:rsidR="008C530E" w:rsidRPr="00AA3684" w:rsidRDefault="008C530E" w:rsidP="008C530E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8"/>
          <w:u w:val="single"/>
        </w:rPr>
      </w:pPr>
    </w:p>
    <w:p w:rsidR="008C530E" w:rsidRPr="00336F47" w:rsidRDefault="008C530E" w:rsidP="008C530E">
      <w:pPr>
        <w:pStyle w:val="BodyTextIndent"/>
        <w:numPr>
          <w:ilvl w:val="0"/>
          <w:numId w:val="1"/>
        </w:numPr>
        <w:ind w:right="0"/>
        <w:rPr>
          <w:sz w:val="32"/>
          <w:szCs w:val="28"/>
        </w:rPr>
      </w:pPr>
      <w:r w:rsidRPr="00336F47">
        <w:rPr>
          <w:sz w:val="32"/>
          <w:szCs w:val="28"/>
        </w:rPr>
        <w:lastRenderedPageBreak/>
        <w:t>Students are required to bring the following documents with them at the time of taking admission [i.e. at the time of payment of fees].</w:t>
      </w:r>
    </w:p>
    <w:p w:rsidR="008C530E" w:rsidRPr="00336F47" w:rsidRDefault="008C530E" w:rsidP="008C530E">
      <w:pPr>
        <w:pStyle w:val="BodyTextIndent"/>
        <w:ind w:left="360" w:right="0" w:firstLine="0"/>
        <w:rPr>
          <w:sz w:val="24"/>
          <w:szCs w:val="28"/>
        </w:rPr>
      </w:pPr>
    </w:p>
    <w:tbl>
      <w:tblPr>
        <w:tblStyle w:val="TableGrid"/>
        <w:tblW w:w="15322" w:type="dxa"/>
        <w:jc w:val="center"/>
        <w:tblLook w:val="04A0"/>
      </w:tblPr>
      <w:tblGrid>
        <w:gridCol w:w="10667"/>
        <w:gridCol w:w="4655"/>
      </w:tblGrid>
      <w:tr w:rsidR="008C530E" w:rsidRPr="00336F47" w:rsidTr="00AA3684">
        <w:trPr>
          <w:jc w:val="center"/>
        </w:trPr>
        <w:tc>
          <w:tcPr>
            <w:tcW w:w="10667" w:type="dxa"/>
          </w:tcPr>
          <w:p w:rsidR="008C530E" w:rsidRPr="00336F47" w:rsidRDefault="008C530E" w:rsidP="00461EDF">
            <w:pPr>
              <w:pStyle w:val="BodyTextIndent"/>
              <w:ind w:right="0" w:firstLine="0"/>
              <w:rPr>
                <w:szCs w:val="28"/>
              </w:rPr>
            </w:pPr>
            <w:r w:rsidRPr="00336F47">
              <w:rPr>
                <w:szCs w:val="28"/>
              </w:rPr>
              <w:t>1) Original HSC Marksheet with 4 Xerox copies</w:t>
            </w:r>
          </w:p>
        </w:tc>
        <w:tc>
          <w:tcPr>
            <w:tcW w:w="4655" w:type="dxa"/>
          </w:tcPr>
          <w:p w:rsidR="008C530E" w:rsidRPr="00336F47" w:rsidRDefault="008C530E" w:rsidP="00461EDF">
            <w:pPr>
              <w:pStyle w:val="BodyTextIndent"/>
              <w:ind w:right="0" w:firstLine="0"/>
              <w:rPr>
                <w:szCs w:val="28"/>
              </w:rPr>
            </w:pPr>
            <w:r w:rsidRPr="00336F47">
              <w:rPr>
                <w:szCs w:val="28"/>
              </w:rPr>
              <w:t>2) 4 Identity Card size photographs</w:t>
            </w:r>
          </w:p>
        </w:tc>
      </w:tr>
      <w:tr w:rsidR="008C530E" w:rsidRPr="00336F47" w:rsidTr="00AA3684">
        <w:trPr>
          <w:jc w:val="center"/>
        </w:trPr>
        <w:tc>
          <w:tcPr>
            <w:tcW w:w="10667" w:type="dxa"/>
          </w:tcPr>
          <w:p w:rsidR="008C530E" w:rsidRPr="00336F47" w:rsidRDefault="008C530E" w:rsidP="00461EDF">
            <w:pPr>
              <w:pStyle w:val="BodyTextIndent"/>
              <w:ind w:right="0" w:firstLine="0"/>
              <w:rPr>
                <w:szCs w:val="28"/>
              </w:rPr>
            </w:pPr>
            <w:r w:rsidRPr="00336F47">
              <w:rPr>
                <w:szCs w:val="28"/>
              </w:rPr>
              <w:t>3) Original Leaving Certificate with 2 Xerox copies</w:t>
            </w:r>
          </w:p>
        </w:tc>
        <w:tc>
          <w:tcPr>
            <w:tcW w:w="4655" w:type="dxa"/>
          </w:tcPr>
          <w:p w:rsidR="008C530E" w:rsidRPr="00336F47" w:rsidRDefault="008C530E" w:rsidP="00461EDF">
            <w:pPr>
              <w:pStyle w:val="BodyTextIndent"/>
              <w:ind w:right="0" w:firstLine="0"/>
              <w:rPr>
                <w:szCs w:val="28"/>
              </w:rPr>
            </w:pPr>
            <w:r w:rsidRPr="00336F47">
              <w:rPr>
                <w:szCs w:val="28"/>
              </w:rPr>
              <w:t xml:space="preserve">4) </w:t>
            </w:r>
            <w:r w:rsidRPr="00336F47">
              <w:rPr>
                <w:b/>
                <w:szCs w:val="28"/>
              </w:rPr>
              <w:t>Xerox copy of S.S.C. Marksheet</w:t>
            </w:r>
          </w:p>
        </w:tc>
      </w:tr>
      <w:tr w:rsidR="008C530E" w:rsidRPr="00336F47" w:rsidTr="00AA3684">
        <w:trPr>
          <w:jc w:val="center"/>
        </w:trPr>
        <w:tc>
          <w:tcPr>
            <w:tcW w:w="10667" w:type="dxa"/>
          </w:tcPr>
          <w:p w:rsidR="008C530E" w:rsidRPr="00336F47" w:rsidRDefault="008C530E" w:rsidP="00461EDF">
            <w:pPr>
              <w:pStyle w:val="BodyTextIndent"/>
              <w:ind w:right="0" w:firstLine="0"/>
              <w:rPr>
                <w:szCs w:val="28"/>
              </w:rPr>
            </w:pPr>
            <w:r w:rsidRPr="00336F47">
              <w:rPr>
                <w:szCs w:val="28"/>
              </w:rPr>
              <w:t xml:space="preserve">5) </w:t>
            </w:r>
            <w:r w:rsidRPr="00336F47">
              <w:rPr>
                <w:szCs w:val="29"/>
              </w:rPr>
              <w:t>Original Gujarati Linguistic Minority     Certificate(current year 2014)with 2 Xerox copies (True copy)</w:t>
            </w:r>
          </w:p>
        </w:tc>
        <w:tc>
          <w:tcPr>
            <w:tcW w:w="4655" w:type="dxa"/>
          </w:tcPr>
          <w:p w:rsidR="008C530E" w:rsidRPr="00336F47" w:rsidRDefault="008C530E" w:rsidP="00461EDF">
            <w:pPr>
              <w:pStyle w:val="BodyTextIndent"/>
              <w:ind w:right="0" w:firstLine="0"/>
              <w:rPr>
                <w:szCs w:val="28"/>
              </w:rPr>
            </w:pPr>
            <w:r w:rsidRPr="00336F47">
              <w:rPr>
                <w:szCs w:val="28"/>
              </w:rPr>
              <w:t xml:space="preserve">6) Pre admission form and cash  </w:t>
            </w:r>
          </w:p>
          <w:p w:rsidR="008C530E" w:rsidRPr="00336F47" w:rsidRDefault="008C530E" w:rsidP="00461EDF">
            <w:pPr>
              <w:pStyle w:val="BodyTextIndent"/>
              <w:ind w:right="0" w:firstLine="0"/>
              <w:rPr>
                <w:szCs w:val="28"/>
              </w:rPr>
            </w:pPr>
            <w:r w:rsidRPr="00336F47">
              <w:rPr>
                <w:szCs w:val="28"/>
              </w:rPr>
              <w:t xml:space="preserve">    payment receipt</w:t>
            </w:r>
          </w:p>
        </w:tc>
      </w:tr>
      <w:tr w:rsidR="008C530E" w:rsidRPr="00336F47" w:rsidTr="00AA3684">
        <w:trPr>
          <w:jc w:val="center"/>
        </w:trPr>
        <w:tc>
          <w:tcPr>
            <w:tcW w:w="15322" w:type="dxa"/>
            <w:gridSpan w:val="2"/>
          </w:tcPr>
          <w:p w:rsidR="008C530E" w:rsidRPr="00336F47" w:rsidRDefault="008C530E" w:rsidP="00461EDF">
            <w:pPr>
              <w:pStyle w:val="BodyTextIndent"/>
              <w:ind w:right="0" w:firstLine="0"/>
              <w:rPr>
                <w:szCs w:val="28"/>
              </w:rPr>
            </w:pPr>
            <w:r w:rsidRPr="00336F47">
              <w:rPr>
                <w:szCs w:val="28"/>
              </w:rPr>
              <w:t>7) Address Proof (Aadaar Card and Ration Card/ Electricity bill/ Telephone Bill)</w:t>
            </w:r>
          </w:p>
        </w:tc>
      </w:tr>
    </w:tbl>
    <w:p w:rsidR="008C530E" w:rsidRPr="00336F47" w:rsidRDefault="008C530E" w:rsidP="008C530E">
      <w:pPr>
        <w:pStyle w:val="BodyTextIndent"/>
        <w:ind w:right="0"/>
        <w:rPr>
          <w:sz w:val="18"/>
          <w:szCs w:val="28"/>
        </w:rPr>
      </w:pPr>
    </w:p>
    <w:p w:rsidR="008C530E" w:rsidRPr="00336F47" w:rsidRDefault="008C530E" w:rsidP="008C530E">
      <w:pPr>
        <w:pStyle w:val="BodyTextIndent"/>
        <w:numPr>
          <w:ilvl w:val="0"/>
          <w:numId w:val="2"/>
        </w:numPr>
        <w:ind w:right="0"/>
        <w:rPr>
          <w:szCs w:val="28"/>
        </w:rPr>
      </w:pPr>
      <w:r w:rsidRPr="00336F47">
        <w:rPr>
          <w:szCs w:val="28"/>
        </w:rPr>
        <w:t>Those candidates seeking admission under Reserved Category are required to submit certified True Copy of Caste Certificate in their name. They are also required to fill the Scholarship / Freeship form at the time of getting admission to get the benefit of freeship.</w:t>
      </w:r>
    </w:p>
    <w:p w:rsidR="008C530E" w:rsidRPr="00336F47" w:rsidRDefault="008C530E" w:rsidP="008C530E">
      <w:pPr>
        <w:pStyle w:val="BodyTextIndent"/>
        <w:ind w:left="360" w:right="0" w:firstLine="0"/>
        <w:rPr>
          <w:sz w:val="20"/>
          <w:szCs w:val="28"/>
        </w:rPr>
      </w:pPr>
    </w:p>
    <w:p w:rsidR="008C530E" w:rsidRDefault="008C530E" w:rsidP="008C530E">
      <w:pPr>
        <w:pStyle w:val="BodyTextIndent"/>
        <w:numPr>
          <w:ilvl w:val="0"/>
          <w:numId w:val="2"/>
        </w:numPr>
        <w:ind w:right="0"/>
        <w:rPr>
          <w:szCs w:val="28"/>
        </w:rPr>
      </w:pPr>
      <w:r w:rsidRPr="00336F47">
        <w:rPr>
          <w:szCs w:val="28"/>
        </w:rPr>
        <w:t xml:space="preserve">Admission form should be duly filled in and signed by the Candidate and Guardian. Candidate must remain present for admission. Students failing to secure admission within the given </w:t>
      </w:r>
      <w:proofErr w:type="gramStart"/>
      <w:r w:rsidRPr="00336F47">
        <w:rPr>
          <w:szCs w:val="28"/>
        </w:rPr>
        <w:t>period,</w:t>
      </w:r>
      <w:proofErr w:type="gramEnd"/>
      <w:r w:rsidRPr="00336F47">
        <w:rPr>
          <w:szCs w:val="28"/>
        </w:rPr>
        <w:t xml:space="preserve"> will not be allowed any claim/right for admission.</w:t>
      </w:r>
    </w:p>
    <w:p w:rsidR="00485CF7" w:rsidRDefault="00485CF7" w:rsidP="00485CF7">
      <w:pPr>
        <w:pStyle w:val="BodyTextIndent"/>
        <w:ind w:right="0" w:firstLine="0"/>
        <w:jc w:val="left"/>
        <w:rPr>
          <w:szCs w:val="28"/>
        </w:rPr>
      </w:pPr>
    </w:p>
    <w:p w:rsidR="008C530E" w:rsidRPr="00B2044C" w:rsidRDefault="008C530E" w:rsidP="00485CF7">
      <w:pPr>
        <w:pStyle w:val="BodyTextIndent"/>
        <w:ind w:right="0" w:firstLine="0"/>
        <w:jc w:val="left"/>
        <w:rPr>
          <w:sz w:val="26"/>
        </w:rPr>
      </w:pPr>
      <w:r>
        <w:rPr>
          <w:szCs w:val="28"/>
        </w:rPr>
        <w:t xml:space="preserve">By Order </w:t>
      </w:r>
    </w:p>
    <w:sectPr w:rsidR="008C530E" w:rsidRPr="00B2044C" w:rsidSect="000E7FDD">
      <w:pgSz w:w="16834" w:h="11909" w:orient="landscape" w:code="9"/>
      <w:pgMar w:top="360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B8"/>
    <w:multiLevelType w:val="hybridMultilevel"/>
    <w:tmpl w:val="D5CA24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C1D22"/>
    <w:multiLevelType w:val="hybridMultilevel"/>
    <w:tmpl w:val="B81232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1348"/>
    <w:rsid w:val="0000042D"/>
    <w:rsid w:val="000233C9"/>
    <w:rsid w:val="00052B69"/>
    <w:rsid w:val="000564F7"/>
    <w:rsid w:val="00065D4F"/>
    <w:rsid w:val="000C4858"/>
    <w:rsid w:val="000E7FDD"/>
    <w:rsid w:val="00116D2D"/>
    <w:rsid w:val="0018624D"/>
    <w:rsid w:val="001A594E"/>
    <w:rsid w:val="001D78FC"/>
    <w:rsid w:val="00207347"/>
    <w:rsid w:val="002169AE"/>
    <w:rsid w:val="00250D05"/>
    <w:rsid w:val="0027313A"/>
    <w:rsid w:val="00274E00"/>
    <w:rsid w:val="0028372F"/>
    <w:rsid w:val="0028740C"/>
    <w:rsid w:val="002B2C59"/>
    <w:rsid w:val="002B6270"/>
    <w:rsid w:val="002E1197"/>
    <w:rsid w:val="002E3248"/>
    <w:rsid w:val="00336F47"/>
    <w:rsid w:val="00337FFB"/>
    <w:rsid w:val="00356CC3"/>
    <w:rsid w:val="0039641F"/>
    <w:rsid w:val="00397101"/>
    <w:rsid w:val="00397A9A"/>
    <w:rsid w:val="003B7B8B"/>
    <w:rsid w:val="003E0C90"/>
    <w:rsid w:val="003E1004"/>
    <w:rsid w:val="0040031D"/>
    <w:rsid w:val="0040740A"/>
    <w:rsid w:val="00424A7C"/>
    <w:rsid w:val="00485CF7"/>
    <w:rsid w:val="00500FBA"/>
    <w:rsid w:val="00502A11"/>
    <w:rsid w:val="00507B5D"/>
    <w:rsid w:val="0055391A"/>
    <w:rsid w:val="00571A0A"/>
    <w:rsid w:val="00575F29"/>
    <w:rsid w:val="0058600A"/>
    <w:rsid w:val="00595034"/>
    <w:rsid w:val="005C410A"/>
    <w:rsid w:val="005F0EE1"/>
    <w:rsid w:val="005F3C81"/>
    <w:rsid w:val="00634C43"/>
    <w:rsid w:val="00647A96"/>
    <w:rsid w:val="00671290"/>
    <w:rsid w:val="007150F6"/>
    <w:rsid w:val="00715C39"/>
    <w:rsid w:val="00761AFA"/>
    <w:rsid w:val="007674DC"/>
    <w:rsid w:val="00771348"/>
    <w:rsid w:val="007936C3"/>
    <w:rsid w:val="007A2055"/>
    <w:rsid w:val="007A47E7"/>
    <w:rsid w:val="007C0537"/>
    <w:rsid w:val="00812A32"/>
    <w:rsid w:val="00816779"/>
    <w:rsid w:val="00816F30"/>
    <w:rsid w:val="00827859"/>
    <w:rsid w:val="00832CE9"/>
    <w:rsid w:val="00840ADC"/>
    <w:rsid w:val="00874E04"/>
    <w:rsid w:val="008C530E"/>
    <w:rsid w:val="009017A3"/>
    <w:rsid w:val="009447C8"/>
    <w:rsid w:val="00945889"/>
    <w:rsid w:val="009672BA"/>
    <w:rsid w:val="009773E4"/>
    <w:rsid w:val="009B70EE"/>
    <w:rsid w:val="009C4297"/>
    <w:rsid w:val="009F3794"/>
    <w:rsid w:val="00A03C1C"/>
    <w:rsid w:val="00A051A4"/>
    <w:rsid w:val="00A40ABF"/>
    <w:rsid w:val="00A51E55"/>
    <w:rsid w:val="00A96A1F"/>
    <w:rsid w:val="00AA3684"/>
    <w:rsid w:val="00AA5B8F"/>
    <w:rsid w:val="00AB7A21"/>
    <w:rsid w:val="00AC6C57"/>
    <w:rsid w:val="00AE6849"/>
    <w:rsid w:val="00AF5166"/>
    <w:rsid w:val="00B0044D"/>
    <w:rsid w:val="00B1604E"/>
    <w:rsid w:val="00B2044C"/>
    <w:rsid w:val="00B26FF2"/>
    <w:rsid w:val="00B3028A"/>
    <w:rsid w:val="00BB6F49"/>
    <w:rsid w:val="00BD1D4A"/>
    <w:rsid w:val="00C17549"/>
    <w:rsid w:val="00C512CF"/>
    <w:rsid w:val="00C526C0"/>
    <w:rsid w:val="00C540D6"/>
    <w:rsid w:val="00CD6140"/>
    <w:rsid w:val="00D41F2B"/>
    <w:rsid w:val="00D4578B"/>
    <w:rsid w:val="00D62A26"/>
    <w:rsid w:val="00DA4FB4"/>
    <w:rsid w:val="00DC5646"/>
    <w:rsid w:val="00DD7859"/>
    <w:rsid w:val="00DF7E2B"/>
    <w:rsid w:val="00E00BC4"/>
    <w:rsid w:val="00E4195F"/>
    <w:rsid w:val="00E51A6F"/>
    <w:rsid w:val="00E71BBD"/>
    <w:rsid w:val="00ED22D9"/>
    <w:rsid w:val="00EE1AB9"/>
    <w:rsid w:val="00EF36DC"/>
    <w:rsid w:val="00F116D2"/>
    <w:rsid w:val="00F237B2"/>
    <w:rsid w:val="00F26BC4"/>
    <w:rsid w:val="00F64CFE"/>
    <w:rsid w:val="00F71723"/>
    <w:rsid w:val="00F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34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336F47"/>
    <w:pPr>
      <w:spacing w:after="0" w:line="240" w:lineRule="auto"/>
      <w:ind w:right="-360" w:firstLine="72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36F47"/>
    <w:rPr>
      <w:rFonts w:ascii="Times New Roman" w:eastAsia="Times New Roman" w:hAnsi="Times New Roman" w:cs="Times New Roman"/>
      <w:sz w:val="30"/>
      <w:szCs w:val="24"/>
    </w:rPr>
  </w:style>
  <w:style w:type="table" w:styleId="TableGrid">
    <w:name w:val="Table Grid"/>
    <w:basedOn w:val="TableNormal"/>
    <w:rsid w:val="0033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7EDD-19B1-40E9-92E7-DE36A47A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181</cp:revision>
  <cp:lastPrinted>2016-07-23T09:35:00Z</cp:lastPrinted>
  <dcterms:created xsi:type="dcterms:W3CDTF">2016-07-20T09:47:00Z</dcterms:created>
  <dcterms:modified xsi:type="dcterms:W3CDTF">2016-07-23T10:20:00Z</dcterms:modified>
</cp:coreProperties>
</file>